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11021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11021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11021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128CF67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Button (00:07)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44A3A0D9"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04:0</w:t>
      </w:r>
      <w:r w:rsidR="0011021C">
        <w:rPr>
          <w:color w:val="000000"/>
          <w:lang w:val="de-DE"/>
        </w:rPr>
        <w:t>3</w:t>
      </w:r>
      <w:bookmarkStart w:id="54" w:name="_GoBack"/>
      <w:bookmarkEnd w:id="54"/>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5" w:name="_Toc341250747"/>
      <w:bookmarkStart w:id="66" w:name="_Toc486598769"/>
      <w:r>
        <w:t>Stack Profile</w:t>
      </w:r>
      <w:bookmarkEnd w:id="65"/>
      <w:bookmarkEnd w:id="66"/>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6" w14:textId="0856AFA8" w:rsidR="007D1D66" w:rsidRPr="002C64E3" w:rsidRDefault="00DB2272" w:rsidP="006F1759">
            <w:pPr>
              <w:pStyle w:val="Body"/>
              <w:jc w:val="center"/>
              <w:rPr>
                <w:lang w:eastAsia="ja-JP"/>
              </w:rPr>
            </w:pPr>
            <w:r w:rsidRPr="002C64E3">
              <w:rPr>
                <w:lang w:eastAsia="ja-JP"/>
              </w:rPr>
              <w:t>N</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8" w14:textId="3B5536BA" w:rsidR="00FC120F" w:rsidRPr="002C64E3" w:rsidRDefault="00DA7CFD" w:rsidP="006F1759">
            <w:pPr>
              <w:pStyle w:val="Body"/>
              <w:jc w:val="center"/>
              <w:rPr>
                <w:lang w:eastAsia="ja-JP"/>
              </w:rPr>
            </w:pPr>
            <w:r w:rsidRPr="002C64E3">
              <w:rPr>
                <w:lang w:eastAsia="ja-JP"/>
              </w:rPr>
              <w:t>N</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Support on Non SE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21C"/>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FDAB16A-306A-464C-9304-8B895478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26798</Words>
  <Characters>152751</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179191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3</cp:revision>
  <dcterms:created xsi:type="dcterms:W3CDTF">2018-12-19T07:04:00Z</dcterms:created>
  <dcterms:modified xsi:type="dcterms:W3CDTF">2019-06-19T20:16:00Z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