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584AA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84A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584A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w:t>
      </w:r>
      <w:r w:rsidR="00845388">
        <w:rPr>
          <w:color w:val="000000"/>
          <w:lang w:val="de-DE"/>
        </w:rPr>
        <w:t>British Gas Smart Energy Display (Hybrid)</w:t>
      </w:r>
      <w:r w:rsidR="00F72483">
        <w:rPr>
          <w:color w:val="000000"/>
          <w:lang w:val="de-DE"/>
        </w:rPr>
        <w:t xml:space="preserve">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845388">
        <w:rPr>
          <w:color w:val="000000"/>
          <w:lang w:val="de-DE"/>
        </w:rPr>
        <w:t xml:space="preserve"> 3.9.1.9.0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45388">
        <w:rPr>
          <w:color w:val="000000"/>
          <w:lang w:val="de-DE"/>
        </w:rPr>
        <w:t>2</w:t>
      </w:r>
      <w:r w:rsidR="008605CF">
        <w:rPr>
          <w:color w:val="000000"/>
        </w:rPr>
        <w:t xml:space="preserve">.0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 xml:space="preserve">[Int: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C5B8D"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E66FF"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F72483" w:rsidRDefault="00F72483" w:rsidP="00F72483">
            <w:pPr>
              <w:pStyle w:val="Body"/>
              <w:jc w:val="center"/>
              <w:rPr>
                <w:highlight w:val="lightGray"/>
                <w:lang w:eastAsia="ja-JP"/>
              </w:rPr>
            </w:pPr>
            <w:r>
              <w:rPr>
                <w:highlight w:val="lightGray"/>
                <w:lang w:eastAsia="ja-JP"/>
              </w:rPr>
              <w:t>Y</w:t>
            </w:r>
          </w:p>
          <w:p w:rsidR="003927E2" w:rsidRPr="00367FA0" w:rsidRDefault="00F72483" w:rsidP="00F72483">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F72483" w:rsidRDefault="00F72483" w:rsidP="00F72483">
            <w:pPr>
              <w:pStyle w:val="Body"/>
              <w:jc w:val="center"/>
              <w:rPr>
                <w:highlight w:val="lightGray"/>
                <w:lang w:eastAsia="ja-JP"/>
              </w:rPr>
            </w:pPr>
            <w:r>
              <w:rPr>
                <w:highlight w:val="lightGray"/>
                <w:lang w:eastAsia="ja-JP"/>
              </w:rPr>
              <w:t>Y</w:t>
            </w:r>
          </w:p>
          <w:p w:rsidR="00845471" w:rsidRPr="00367FA0" w:rsidRDefault="00F72483" w:rsidP="00F72483">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CC5B8D"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lastRenderedPageBreak/>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lastRenderedPageBreak/>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ModuleSerialNumber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CustomerIDNumber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AlternativeDemandFormatting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IntervalStartTimeReceived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w:t>
            </w:r>
          </w:p>
          <w:p w:rsidR="00051DD9" w:rsidRDefault="00051DD9" w:rsidP="00051DD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lastRenderedPageBreak/>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 xml:space="preserve">[Int: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2B74A6" w:rsidP="007C1767">
            <w:pPr>
              <w:pStyle w:val="Body"/>
              <w:jc w:val="center"/>
              <w:rPr>
                <w:highlight w:val="lightGray"/>
                <w:lang w:eastAsia="ja-JP"/>
              </w:rPr>
            </w:pPr>
            <w:r>
              <w:rPr>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2B74A6" w:rsidP="007C1767">
            <w:pPr>
              <w:pStyle w:val="Body"/>
              <w:jc w:val="center"/>
              <w:rPr>
                <w:highlight w:val="lightGray"/>
                <w:lang w:eastAsia="ja-JP"/>
              </w:rPr>
            </w:pPr>
            <w:r>
              <w:rPr>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2B74A6"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2B74A6"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2B74A6" w:rsidP="00051DD9">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[Int: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2B74A6"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r w:rsidR="00051DD9">
              <w:rPr>
                <w:highlight w:val="lightGray"/>
                <w:lang w:eastAsia="ja-JP"/>
              </w:rPr>
              <w:t xml:space="preserve">      </w:t>
            </w:r>
            <w:r w:rsidR="00051DD9" w:rsidRPr="004641A0">
              <w:rPr>
                <w:highlight w:val="lightGray"/>
                <w:lang w:eastAsia="ja-JP"/>
              </w:rPr>
              <w:t xml:space="preserve">       </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584AAC"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F72483">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2B74A6" w:rsidP="00051DD9">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2B74A6"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75EFA" w:rsidP="00051DD9">
            <w:pPr>
              <w:pStyle w:val="Body"/>
              <w:jc w:val="center"/>
              <w:rPr>
                <w:highlight w:val="lightGray"/>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F72483">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75EFA" w:rsidP="00051DD9">
            <w:pPr>
              <w:pStyle w:val="Body"/>
              <w:jc w:val="center"/>
              <w:rPr>
                <w:lang w:eastAsia="ja-JP"/>
              </w:rPr>
            </w:pPr>
            <w:r>
              <w:rPr>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lastRenderedPageBreak/>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CC5B8D"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r>
              <w:rPr>
                <w:b/>
                <w:bCs/>
              </w:rPr>
              <w:t xml:space="preserve"> </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F72483" w:rsidP="00E22B07">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AF2488"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2B74A6" w:rsidRDefault="002B74A6" w:rsidP="002B74A6">
            <w:pPr>
              <w:pStyle w:val="Body"/>
              <w:jc w:val="center"/>
              <w:rPr>
                <w:highlight w:val="lightGray"/>
                <w:lang w:eastAsia="ja-JP"/>
              </w:rPr>
            </w:pPr>
            <w:r>
              <w:rPr>
                <w:highlight w:val="lightGray"/>
                <w:lang w:eastAsia="ja-JP"/>
              </w:rPr>
              <w:t>Y</w:t>
            </w:r>
          </w:p>
          <w:p w:rsidR="006323B4" w:rsidRPr="004641A0" w:rsidRDefault="002B74A6" w:rsidP="002B74A6">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975EFA" w:rsidRDefault="00975EFA" w:rsidP="00975EFA">
            <w:pPr>
              <w:pStyle w:val="Body"/>
              <w:jc w:val="center"/>
              <w:rPr>
                <w:highlight w:val="lightGray"/>
                <w:lang w:eastAsia="ja-JP"/>
              </w:rPr>
            </w:pPr>
            <w:r>
              <w:rPr>
                <w:highlight w:val="lightGray"/>
                <w:lang w:eastAsia="ja-JP"/>
              </w:rPr>
              <w:t>Y</w:t>
            </w:r>
          </w:p>
          <w:p w:rsidR="007E75F0" w:rsidRPr="004641A0" w:rsidRDefault="00975EFA" w:rsidP="00975EFA">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bookmarkStart w:id="137" w:name="_GoBack"/>
            <w:bookmarkEnd w:id="137"/>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lastRenderedPageBreak/>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B74A6"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lastRenderedPageBreak/>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AF2488" w:rsidP="00757175">
            <w:pPr>
              <w:pStyle w:val="Body"/>
              <w:jc w:val="center"/>
              <w:rPr>
                <w:lang w:eastAsia="ja-JP"/>
              </w:rPr>
            </w:pPr>
            <w:r>
              <w:rPr>
                <w:lang w:eastAsia="ja-JP"/>
              </w:rPr>
              <w:t>Y</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AF2488" w:rsidP="00757175">
            <w:pPr>
              <w:pStyle w:val="Body"/>
              <w:jc w:val="center"/>
              <w:rPr>
                <w:highlight w:val="lightGray"/>
                <w:lang w:eastAsia="ja-JP"/>
              </w:rPr>
            </w:pPr>
            <w:r>
              <w:rPr>
                <w:highlight w:val="lightGray"/>
                <w:lang w:eastAsia="ja-JP"/>
              </w:rPr>
              <w:t>3</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9A332C"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AF2488" w:rsidP="00757175">
            <w:pPr>
              <w:pStyle w:val="Body"/>
              <w:jc w:val="center"/>
              <w:rPr>
                <w:highlight w:val="lightGray"/>
                <w:lang w:eastAsia="ja-JP"/>
              </w:rPr>
            </w:pPr>
            <w:r>
              <w:rPr>
                <w:highlight w:val="lightGray"/>
                <w:lang w:eastAsia="ja-JP"/>
              </w:rPr>
              <w:t>24</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AF2488" w:rsidP="00757175">
            <w:pPr>
              <w:pStyle w:val="Body"/>
              <w:jc w:val="center"/>
              <w:rPr>
                <w:highlight w:val="lightGray"/>
                <w:lang w:eastAsia="ja-JP"/>
              </w:rPr>
            </w:pPr>
            <w:r>
              <w:rPr>
                <w:highlight w:val="lightGray"/>
                <w:lang w:eastAsia="ja-JP"/>
              </w:rPr>
              <w:t>48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3F793C"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3F793C"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8</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086678"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75</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 xml:space="preserve">[Int: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84AAC" w:rsidRDefault="00584AAC"/>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584AAC" w:rsidRDefault="00584AAC"/>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AAC" w:rsidRDefault="00584AAC">
      <w:r>
        <w:separator/>
      </w:r>
    </w:p>
  </w:endnote>
  <w:endnote w:type="continuationSeparator" w:id="0">
    <w:p w:rsidR="00584AAC" w:rsidRDefault="005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AC" w:rsidRDefault="00584AA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AC" w:rsidRPr="00635298" w:rsidRDefault="00584AA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AAC" w:rsidRDefault="00584AAC">
      <w:r>
        <w:separator/>
      </w:r>
    </w:p>
  </w:footnote>
  <w:footnote w:type="continuationSeparator" w:id="0">
    <w:p w:rsidR="00584AAC" w:rsidRDefault="00584AAC">
      <w:r>
        <w:continuationSeparator/>
      </w:r>
    </w:p>
  </w:footnote>
  <w:footnote w:id="1">
    <w:p w:rsidR="00584AAC" w:rsidRDefault="00584AA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84AAC" w:rsidRDefault="00584AAC" w:rsidP="00284C8F">
      <w:pPr>
        <w:pStyle w:val="FootnoteText"/>
      </w:pPr>
      <w:r>
        <w:rPr>
          <w:rStyle w:val="FootnoteReference"/>
        </w:rPr>
        <w:footnoteRef/>
      </w:r>
      <w:r>
        <w:t xml:space="preserve"> O.2 – Device under test must be deployed on either of the ZigBee or ZigBee PRO stack profiles.</w:t>
      </w:r>
    </w:p>
  </w:footnote>
  <w:footnote w:id="3">
    <w:p w:rsidR="00584AAC" w:rsidRDefault="00584AA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584AAC" w:rsidRPr="00850F6A" w:rsidRDefault="00584AAC" w:rsidP="00051DD9">
      <w:pPr>
        <w:pStyle w:val="FootnoteText"/>
      </w:pPr>
      <w:r>
        <w:rPr>
          <w:rStyle w:val="FootnoteReference"/>
        </w:rPr>
        <w:footnoteRef/>
      </w:r>
      <w:r>
        <w:t xml:space="preserve"> CCB 1886</w:t>
      </w:r>
    </w:p>
  </w:footnote>
  <w:footnote w:id="5">
    <w:p w:rsidR="00584AAC" w:rsidRPr="00431618" w:rsidRDefault="00584AAC" w:rsidP="00051DD9">
      <w:pPr>
        <w:pStyle w:val="FootnoteText"/>
      </w:pPr>
      <w:r>
        <w:rPr>
          <w:rStyle w:val="FootnoteReference"/>
        </w:rPr>
        <w:footnoteRef/>
      </w:r>
      <w:r>
        <w:t xml:space="preserve"> CCB 1999</w:t>
      </w:r>
    </w:p>
  </w:footnote>
  <w:footnote w:id="6">
    <w:p w:rsidR="00584AAC" w:rsidRPr="00431618" w:rsidRDefault="00584AAC" w:rsidP="00051DD9">
      <w:pPr>
        <w:pStyle w:val="FootnoteText"/>
      </w:pPr>
      <w:r>
        <w:rPr>
          <w:rStyle w:val="FootnoteReference"/>
        </w:rPr>
        <w:footnoteRef/>
      </w:r>
      <w:r>
        <w:t xml:space="preserve"> CCB 1999</w:t>
      </w:r>
    </w:p>
  </w:footnote>
  <w:footnote w:id="7">
    <w:p w:rsidR="00584AAC" w:rsidRPr="00431618" w:rsidRDefault="00584AAC" w:rsidP="00051DD9">
      <w:pPr>
        <w:pStyle w:val="FootnoteText"/>
      </w:pPr>
      <w:r>
        <w:rPr>
          <w:rStyle w:val="FootnoteReference"/>
        </w:rPr>
        <w:footnoteRef/>
      </w:r>
      <w:r>
        <w:t xml:space="preserve"> CCB 1999</w:t>
      </w:r>
    </w:p>
  </w:footnote>
  <w:footnote w:id="8">
    <w:p w:rsidR="00584AAC" w:rsidRPr="00431618" w:rsidRDefault="00584AAC" w:rsidP="00051DD9">
      <w:pPr>
        <w:pStyle w:val="FootnoteText"/>
      </w:pPr>
      <w:r>
        <w:rPr>
          <w:rStyle w:val="FootnoteReference"/>
        </w:rPr>
        <w:footnoteRef/>
      </w:r>
      <w:r>
        <w:t xml:space="preserve"> CCB 1999</w:t>
      </w:r>
    </w:p>
  </w:footnote>
  <w:footnote w:id="9">
    <w:p w:rsidR="00584AAC" w:rsidRPr="00431618" w:rsidRDefault="00584AAC" w:rsidP="00051DD9">
      <w:pPr>
        <w:pStyle w:val="FootnoteText"/>
      </w:pPr>
      <w:r>
        <w:rPr>
          <w:rStyle w:val="FootnoteReference"/>
        </w:rPr>
        <w:footnoteRef/>
      </w:r>
      <w:r>
        <w:t xml:space="preserve"> CCB 1999</w:t>
      </w:r>
    </w:p>
  </w:footnote>
  <w:footnote w:id="10">
    <w:p w:rsidR="00584AAC" w:rsidRPr="00431618" w:rsidRDefault="00584AAC" w:rsidP="00051DD9">
      <w:pPr>
        <w:pStyle w:val="FootnoteText"/>
      </w:pPr>
      <w:r>
        <w:rPr>
          <w:rStyle w:val="FootnoteReference"/>
        </w:rPr>
        <w:footnoteRef/>
      </w:r>
      <w:r>
        <w:t xml:space="preserve"> CCB 1999</w:t>
      </w:r>
    </w:p>
  </w:footnote>
  <w:footnote w:id="11">
    <w:p w:rsidR="00584AAC" w:rsidRPr="00431618" w:rsidRDefault="00584AAC"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AC" w:rsidRDefault="00584AA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AC" w:rsidRDefault="00584AA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A1F61"/>
    <w:rsid w:val="000A3312"/>
    <w:rsid w:val="000A42D2"/>
    <w:rsid w:val="000A76F7"/>
    <w:rsid w:val="000A7CDF"/>
    <w:rsid w:val="000B1411"/>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5F55"/>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74A6"/>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84AAC"/>
    <w:rsid w:val="005908EC"/>
    <w:rsid w:val="00594FE5"/>
    <w:rsid w:val="005A32F8"/>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66FF"/>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388"/>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75EFA"/>
    <w:rsid w:val="009825F0"/>
    <w:rsid w:val="009839E4"/>
    <w:rsid w:val="00985888"/>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248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5B8D"/>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483"/>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921C07"/>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E9B076-C171-4B6B-8A8B-892B5C85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112</Pages>
  <Words>17578</Words>
  <Characters>153133</Characters>
  <Application>Microsoft Office Word</Application>
  <DocSecurity>0</DocSecurity>
  <Lines>1276</Lines>
  <Paragraphs>340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170371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4</cp:revision>
  <dcterms:created xsi:type="dcterms:W3CDTF">2017-08-22T16:20:00Z</dcterms:created>
  <dcterms:modified xsi:type="dcterms:W3CDTF">2017-10-03T08:25:00Z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